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A9" w:rsidRDefault="00276FA9" w:rsidP="00276FA9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The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34th EACTS </w:t>
      </w:r>
      <w:proofErr w:type="spellStart"/>
      <w:r>
        <w:rPr>
          <w:rFonts w:ascii="Tahoma" w:eastAsia="Times New Roman" w:hAnsi="Tahoma" w:cs="Tahoma"/>
          <w:sz w:val="20"/>
          <w:szCs w:val="20"/>
        </w:rPr>
        <w:t>Annual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Meeting </w:t>
      </w:r>
      <w:proofErr w:type="spellStart"/>
      <w:r>
        <w:rPr>
          <w:rFonts w:ascii="Tahoma" w:eastAsia="Times New Roman" w:hAnsi="Tahoma" w:cs="Tahoma"/>
          <w:sz w:val="20"/>
          <w:szCs w:val="20"/>
        </w:rPr>
        <w:t>will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be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virtual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only</w:t>
      </w:r>
      <w:proofErr w:type="spellEnd"/>
    </w:p>
    <w:p w:rsidR="00276FA9" w:rsidRDefault="00276FA9" w:rsidP="00276FA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76FA9" w:rsidTr="00276FA9">
        <w:tc>
          <w:tcPr>
            <w:tcW w:w="0" w:type="auto"/>
            <w:vAlign w:val="center"/>
            <w:hideMark/>
          </w:tcPr>
          <w:p w:rsidR="00276FA9" w:rsidRDefault="00276FA9">
            <w:pPr>
              <w:spacing w:line="15" w:lineRule="atLeast"/>
              <w:jc w:val="center"/>
            </w:pPr>
            <w:proofErr w:type="spellStart"/>
            <w:r>
              <w:rPr>
                <w:rFonts w:eastAsia="Times New Roman"/>
                <w:sz w:val="2"/>
                <w:szCs w:val="2"/>
              </w:rPr>
              <w:t>Complimentary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Registration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for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all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Nurses</w:t>
            </w:r>
            <w:proofErr w:type="spellEnd"/>
            <w:r>
              <w:rPr>
                <w:rFonts w:eastAsia="Times New Roman"/>
                <w:sz w:val="2"/>
                <w:szCs w:val="2"/>
              </w:rPr>
              <w:t xml:space="preserve"> and EACTS </w:t>
            </w:r>
            <w:proofErr w:type="spellStart"/>
            <w:r>
              <w:rPr>
                <w:rFonts w:eastAsia="Times New Roman"/>
                <w:sz w:val="2"/>
                <w:szCs w:val="2"/>
              </w:rPr>
              <w:t>Members</w:t>
            </w:r>
            <w:proofErr w:type="spellEnd"/>
            <w:r>
              <w:t xml:space="preserve"> </w:t>
            </w:r>
          </w:p>
          <w:p w:rsidR="00276FA9" w:rsidRDefault="00276FA9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>
                  <wp:extent cx="6350" cy="6350"/>
                  <wp:effectExtent l="0" t="0" r="0" b="0"/>
                  <wp:docPr id="12" name="Obrázek 12" descr="http://r20.rs6.net/on.jsp?ca=40ca705a-d9c6-44ac-883f-d8dba959f241&amp;a=1128185949036&amp;c=49292360-5698-11e7-abe8-d4ae529a7ef1&amp;ch=49c95b00-5698-11e7-acf0-d4ae529a7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20.rs6.net/on.jsp?ca=40ca705a-d9c6-44ac-883f-d8dba959f241&amp;a=1128185949036&amp;c=49292360-5698-11e7-abe8-d4ae529a7ef1&amp;ch=49c95b00-5698-11e7-acf0-d4ae529a7e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FA9" w:rsidTr="00276FA9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shd w:val="clear" w:color="auto" w:fill="D3D3D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6FA9">
              <w:trPr>
                <w:jc w:val="center"/>
              </w:trPr>
              <w:tc>
                <w:tcPr>
                  <w:tcW w:w="0" w:type="auto"/>
                  <w:shd w:val="clear" w:color="auto" w:fill="D3D3D3"/>
                  <w:vAlign w:val="center"/>
                  <w:hideMark/>
                </w:tcPr>
                <w:tbl>
                  <w:tblPr>
                    <w:tblW w:w="94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76FA9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22"/>
                        </w:tblGrid>
                        <w:tr w:rsidR="00276FA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276FA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5708650" cy="1905000"/>
                                                      <wp:effectExtent l="0" t="0" r="6350" b="0"/>
                                                      <wp:docPr id="11" name="Obrázek 11" descr="https://files.constantcontact.com/c6b6f1da601/3b7351e6-151b-4d7a-aa74-f857f22e3179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s://files.constantcontact.com/c6b6f1da601/3b7351e6-151b-4d7a-aa74-f857f22e3179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08650" cy="1905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242157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34th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Meeting 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be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virtual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FFFFFF"/>
                                                    <w:sz w:val="36"/>
                                                    <w:szCs w:val="36"/>
                                                  </w:rPr>
                                                  <w:t>only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22"/>
                                                </w:tblGrid>
                                                <w:tr w:rsidR="00276FA9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6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276FA9" w:rsidRDefault="00276FA9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4450" cy="6350"/>
                                                            <wp:effectExtent l="0" t="0" r="0" b="0"/>
                                                            <wp:docPr id="10" name="Obrázek 10" descr="https://imgssl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3" descr="https://imgssl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4450" cy="63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Dear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Colleagues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000000"/>
                                                  </w:rPr>
                                                  <w:t>,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have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 made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difficult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decision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postpone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“live in person” part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Meeting in Barcelona and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transition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virtual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format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through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Portal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only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decision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was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made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due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escalating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uncertainty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related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Coronavirus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outbreak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and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safeguard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safety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our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broader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community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serve.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innovative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Portal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continue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provide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opportunity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attend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Meeting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sessions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connect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friends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colleagues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in 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safe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learning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environment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inspiring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scientific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programme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 as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well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as 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fully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featured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virtual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exhibition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hall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where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 talk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exhibitors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see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their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latest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products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,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download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information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With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this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new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technology,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just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like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being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right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in person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show.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5708650" cy="3200400"/>
                                                      <wp:effectExtent l="0" t="0" r="6350" b="0"/>
                                                      <wp:docPr id="9" name="Obrázek 9" descr="email blast video - 200718 MM EACTS Clip V5 - 1080p - Intro portal">
                                                        <a:hlinkClick xmlns:a="http://schemas.openxmlformats.org/drawingml/2006/main" r:id="rId9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email blast video - 200718 MM EACTS Clip V5 - 1080p - Intro portal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08650" cy="32004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 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are 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Physician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Industry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representative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are 3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options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attend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: 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Existing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receive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free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access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Non-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apply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membership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fee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€250,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receive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free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access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Non-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who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do not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join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register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Meeting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€300 plus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applicable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VAT.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Nurses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receive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complimentary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registration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If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you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are a 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Resident,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Perfusionist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other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Allied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Health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403F42"/>
                                                  </w:rPr>
                                                  <w:t>professional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are 3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options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attend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: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Existing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receive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free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access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Non-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apply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membership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fee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of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€125, and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receive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free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access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:rsidR="00276FA9" w:rsidRDefault="00276FA9" w:rsidP="00833116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ind w:left="600" w:hanging="240"/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Non-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Members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who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do not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wish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join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EACTS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can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register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Meeting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€150 plus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applicable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VAT.</w:t>
                                                </w: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276FA9" w:rsidRDefault="00276FA9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Registration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resume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on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10th August.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existing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registrations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Annual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Meeting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will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be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converted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to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the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new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format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03F42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022"/>
                                                </w:tblGrid>
                                                <w:tr w:rsidR="00276FA9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0" w:type="auto"/>
                                                        <w:jc w:val="center"/>
                                                        <w:shd w:val="clear" w:color="auto" w:fill="242158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3624"/>
                                                      </w:tblGrid>
                                                      <w:tr w:rsidR="00276FA9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242158"/>
                                                            <w:tcMar>
                                                              <w:top w:w="135" w:type="dxa"/>
                                                              <w:left w:w="225" w:type="dxa"/>
                                                              <w:bottom w:w="150" w:type="dxa"/>
                                                              <w:right w:w="22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276FA9" w:rsidRDefault="00276FA9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FFFFFF"/>
                                                                <w:sz w:val="21"/>
                                                                <w:szCs w:val="21"/>
                                                              </w:rPr>
                                                            </w:pPr>
                                                            <w:hyperlink r:id="rId11" w:history="1"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FFFFFF"/>
                                                                  <w:u w:val="none"/>
                                                                </w:rPr>
                                                                <w:t>Annual</w:t>
                                                              </w:r>
                                                              <w:proofErr w:type="spellEnd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FFFFFF"/>
                                                                  <w:u w:val="none"/>
                                                                </w:rPr>
                                                                <w:t xml:space="preserve"> Meeting </w:t>
                                                              </w:r>
                                                              <w:proofErr w:type="spellStart"/>
                                                              <w:r>
                                                                <w:rPr>
                                                                  <w:rStyle w:val="Hypertextovodkaz"/>
                                                                  <w:rFonts w:ascii="Arial" w:eastAsia="Times New Roman" w:hAnsi="Arial" w:cs="Arial"/>
                                                                  <w:b/>
                                                                  <w:bCs/>
                                                                  <w:color w:val="FFFFFF"/>
                                                                  <w:u w:val="none"/>
                                                                </w:rPr>
                                                                <w:t>information</w:t>
                                                              </w:r>
                                                              <w:proofErr w:type="spellEnd"/>
                                                            </w:hyperlink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76FA9" w:rsidRDefault="00276FA9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76FA9" w:rsidRDefault="00276FA9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22"/>
                                                </w:tblGrid>
                                                <w:tr w:rsidR="00276FA9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276FA9" w:rsidRDefault="00276FA9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4450" cy="6350"/>
                                                            <wp:effectExtent l="0" t="0" r="0" b="0"/>
                                                            <wp:docPr id="8" name="Obrázek 8" descr="https://imgssl.constantcontact.com/letters/images/1101116784221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https://imgssl.constantcontact.com/letters/images/1101116784221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4450" cy="63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485900" cy="742950"/>
                                                      <wp:effectExtent l="0" t="0" r="0" b="0"/>
                                                      <wp:docPr id="7" name="Obrázek 7" descr="https://files.constantcontact.com/c6b6f1da601/fd8ced6b-7184-495b-9ab0-6b071f6bfb04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https://files.constantcontact.com/c6b6f1da601/fd8ced6b-7184-495b-9ab0-6b071f6bfb04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485900" cy="7429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bookmarkStart w:id="0" w:name="_GoBack"/>
                                                <w:bookmarkEnd w:id="0"/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22"/>
                                                </w:tblGrid>
                                                <w:tr w:rsidR="00276FA9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05" w:type="dxa"/>
                                                        <w:left w:w="0" w:type="dxa"/>
                                                        <w:bottom w:w="10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7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105"/>
                                                      </w:tblGrid>
                                                      <w:tr w:rsidR="00276FA9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999999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276FA9" w:rsidRDefault="00276FA9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>
                                                                  <wp:extent cx="44450" cy="6350"/>
                                                                  <wp:effectExtent l="0" t="0" r="0" b="0"/>
                                                                  <wp:docPr id="6" name="Obrázek 6" descr="https://imgssl.constantcontact.com/letters/images/1101116784221/S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7" descr="https://imgssl.constantcontact.com/letters/images/1101116784221/S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8" cstate="print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4450" cy="635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276FA9" w:rsidRDefault="00276FA9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13" w:tgtFrame="_blank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0076C0"/>
                                                      <w:sz w:val="21"/>
                                                      <w:szCs w:val="21"/>
                                                    </w:rPr>
                                                    <w:t>STAY CONNECTED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D3567"/>
                                                  </w:rPr>
                                                  <w:t> </w:t>
                                                </w:r>
                                                <w:hyperlink r:id="rId14" w:tgtFrame="_blank" w:history="1">
                                                  <w:r>
                                                    <w:rPr>
                                                      <w:rStyle w:val="Hypertextovodkaz"/>
                                                      <w:rFonts w:ascii="Arial" w:eastAsia="Times New Roman" w:hAnsi="Arial" w:cs="Arial"/>
                                                      <w:b/>
                                                      <w:bCs/>
                                                      <w:color w:val="1D3567"/>
                                                    </w:rPr>
                                                    <w:t>EACTS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1D3567"/>
                                                  </w:rPr>
                                                  <w:t>.org</w:t>
                                                </w: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FFFFFF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22"/>
                                    </w:tblGrid>
                                    <w:tr w:rsidR="00276FA9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22"/>
                                          </w:tblGrid>
                                          <w:tr w:rsidR="00276FA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276FA9" w:rsidRDefault="00276FA9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15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304800" cy="304800"/>
                                                        <wp:effectExtent l="0" t="0" r="0" b="0"/>
                                                        <wp:docPr id="5" name="Obrázek 5" descr="Facebook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8" descr="Facebook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6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textovodkaz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17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304800" cy="304800"/>
                                                        <wp:effectExtent l="0" t="0" r="0" b="0"/>
                                                        <wp:docPr id="4" name="Obrázek 4" descr="Twitter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9" descr="Twitter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8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textovodkaz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19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304800" cy="304800"/>
                                                        <wp:effectExtent l="0" t="0" r="0" b="0"/>
                                                        <wp:docPr id="3" name="Obrázek 3" descr="Instagram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0" descr="Instagram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0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textovodkaz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21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304800" cy="304800"/>
                                                        <wp:effectExtent l="0" t="0" r="0" b="0"/>
                                                        <wp:docPr id="2" name="Obrázek 2" descr="LinkedIn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1" descr="LinkedIn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2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textovodkaz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23" w:history="1">
                                                  <w:r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733F7C63" wp14:editId="6593E5FD">
                                                        <wp:extent cx="304800" cy="304800"/>
                                                        <wp:effectExtent l="0" t="0" r="0" b="0"/>
                                                        <wp:docPr id="1" name="Obrázek 1" descr="YouTube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12" descr="YouTube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4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4800" cy="3048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Hypertextovodkaz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276FA9" w:rsidRDefault="00276FA9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76FA9" w:rsidRDefault="00276FA9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76FA9" w:rsidRDefault="00276FA9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76FA9" w:rsidRDefault="00276FA9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6FA9" w:rsidRDefault="00276FA9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76FA9" w:rsidRDefault="00276FA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94922" w:rsidRDefault="00394922"/>
    <w:sectPr w:rsidR="00394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C90"/>
    <w:multiLevelType w:val="multilevel"/>
    <w:tmpl w:val="FB3C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722EE"/>
    <w:multiLevelType w:val="multilevel"/>
    <w:tmpl w:val="7CF4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A9"/>
    <w:rsid w:val="00276FA9"/>
    <w:rsid w:val="00394922"/>
    <w:rsid w:val="0064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F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F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FA9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FA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6FA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FA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r20.rs6.net/tn.jsp?f=001ZvBaXyKb2y9qStqJ7VwEGoIf-I19tPdmX_MB-Sic2K5ONmwvylltwTk5a8alUbfzQC7x6NRt5f6q8loglGHjoATt4IkMDY3Kj032C_P7vcVWli9SdUtyrisnVE9U6PpNuekO3VjwpgpuGcNgsP8-9deS9eM4D4PUcaaJKEdz8zquEcTTTaMBWKboZ00EaN3-uRkBKzwwfes_XWqbYClYPpY9RtJ8LKBXfqrqqo17sMMXR0LO4_LQVJOc1Hp9Dm1qyZ-qnHC5mAUqeOlh4S09NJHCnkLEtMcwlvt8S07qUjWHd7S1sv4iTJI8nn9_9y90PfHxkC7SW0H3BVJIgb6yA-UYQUqo9i9H&amp;c=Zfj2nu77loYuZ-JafJWSpcrzyJ_qf0Zd9UCG6K6jma9Ihcrk76so5A==&amp;ch=FejACymExUrqLufxfffdb0SXcRX4NDhZaQJv_IcAzYZix5uOi-XIKA==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r20.rs6.net/tn.jsp?f=001ZvBaXyKb2y9qStqJ7VwEGoIf-I19tPdmX_MB-Sic2K5ONmwvylltweH8dy4pF2kwH314LETNQHqRKE2GsKilyTTHmyFKRaEMtM-inxLp8Z0Rh15c8y6Kmz4TC6OuE4zTHvY-VgmbYY4LrwXafeGUjExpj7i2UdP1OrAeElxsnoJxDtcAncE_oBgLV82dz5jyPbLCG2lSUvAk7IFQR6-CIzOqvWev9aaK&amp;c=Zfj2nu77loYuZ-JafJWSpcrzyJ_qf0Zd9UCG6K6jma9Ihcrk76so5A==&amp;ch=FejACymExUrqLufxfffdb0SXcRX4NDhZaQJv_IcAzYZix5uOi-XIKA==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r20.rs6.net/tn.jsp?f=001ZvBaXyKb2y9qStqJ7VwEGoIf-I19tPdmX_MB-Sic2K5ONmwvylltwb6p3wRJNMpdJXWNlhUpJ8wIYP0be2bbnF0YLEoojOCLSCfAINkh6m0C2g2mt8NQX8iehNeh3Dqy3lobtaNYKwzwVgDt_MhScA==&amp;c=Zfj2nu77loYuZ-JafJWSpcrzyJ_qf0Zd9UCG6K6jma9Ihcrk76so5A==&amp;ch=FejACymExUrqLufxfffdb0SXcRX4NDhZaQJv_IcAzYZix5uOi-XIKA=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r20.rs6.net/tn.jsp?f=001ZvBaXyKb2y9qStqJ7VwEGoIf-I19tPdmX_MB-Sic2K5ONmwvylltwWez8u0mF86c4bXAQnaGUuEwuu7iy7CwLtCdbBu8yEIotsFtPvhDUdRW5Qfe39JcES1H61wvadfPcdJRZ8xlwQMg4kWcN8DcO0XVO4OrdffTf1nAVeZswTk=&amp;c=Zfj2nu77loYuZ-JafJWSpcrzyJ_qf0Zd9UCG6K6jma9Ihcrk76so5A==&amp;ch=FejACymExUrqLufxfffdb0SXcRX4NDhZaQJv_IcAzYZix5uOi-XIKA==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r20.rs6.net/tn.jsp?f=001ZvBaXyKb2y9qStqJ7VwEGoIf-I19tPdmX_MB-Sic2K5ONmwvylltwd5jeb9lBCpjU0nqtQ6T6CP98osoFrcGJgoz0jaSSRsji6AjUtX4PVvutQMs1pmuE2YdKYIDk3o7Y-DimU3_mW6f-GORTeNdy_98YnhhNbvTGQX80v2l6Gn5dlqSDfAVdLHCQjuvAKHUYfBy5A2K2o0=&amp;c=Zfj2nu77loYuZ-JafJWSpcrzyJ_qf0Zd9UCG6K6jma9Ihcrk76so5A==&amp;ch=FejACymExUrqLufxfffdb0SXcRX4NDhZaQJv_IcAzYZix5uOi-XIKA==" TargetMode="External"/><Relationship Id="rId23" Type="http://schemas.openxmlformats.org/officeDocument/2006/relationships/hyperlink" Target="http://r20.rs6.net/tn.jsp?f=001ZvBaXyKb2y9qStqJ7VwEGoIf-I19tPdmX_MB-Sic2K5ONmwvylltweH8dy4pF2kwwhGhaCVTrT7_L9_WlAoTdz3JSpV95BlXIkiVdqT3P6rZKezKwEUmXkTJZontAZWDDjv-w3E1MtwFcWQCHcT7gA==&amp;c=Zfj2nu77loYuZ-JafJWSpcrzyJ_qf0Zd9UCG6K6jma9Ihcrk76so5A==&amp;ch=FejACymExUrqLufxfffdb0SXcRX4NDhZaQJv_IcAzYZix5uOi-XIKA==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r20.rs6.net/tn.jsp?f=001ZvBaXyKb2y9qStqJ7VwEGoIf-I19tPdmX_MB-Sic2K5ONmwvylltwW0TYYGHGrhA2GeHnWyj6ncA1Ooy-Bt9wlmQDW9TnsE8Avfawg_wrtJ_XONBwt9WqkmU5hPMLBH2zP4EFdmUrg2k0JlDxs4HplS8CJ7DGjx62zWaNoxtb4o=&amp;c=Zfj2nu77loYuZ-JafJWSpcrzyJ_qf0Zd9UCG6K6jma9Ihcrk76so5A==&amp;ch=FejACymExUrqLufxfffdb0SXcRX4NDhZaQJv_IcAzYZix5uOi-XIKA==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20.rs6.net/tn.jsp?f=001ZvBaXyKb2y9qStqJ7VwEGoIf-I19tPdmX_MB-Sic2K5ONmwvylltwf1PxTetWTOMBxwYKMArvLdmMxdyo42HxebV6AAtbJDvK-xyxajR8g_ouHJXhQk8fvg95rhVPJXjbxBH__SmIcCiC9ug1V-fQQ==&amp;c=Zfj2nu77loYuZ-JafJWSpcrzyJ_qf0Zd9UCG6K6jma9Ihcrk76so5A==&amp;ch=FejACymExUrqLufxfffdb0SXcRX4NDhZaQJv_IcAzYZix5uOi-XIKA==" TargetMode="External"/><Relationship Id="rId14" Type="http://schemas.openxmlformats.org/officeDocument/2006/relationships/hyperlink" Target="http://r20.rs6.net/tn.jsp?f=001ZvBaXyKb2y9qStqJ7VwEGoIf-I19tPdmX_MB-Sic2K5ONmwvylltwb6p3wRJNMpdD4haQjyDU0wCahIicly2qa4gL8AAHAQ3SDMPoEC7QdwF2OJ7hhksF151y8L8BnTpacinlmBM_fY=&amp;c=Zfj2nu77loYuZ-JafJWSpcrzyJ_qf0Zd9UCG6K6jma9Ihcrk76so5A==&amp;ch=FejACymExUrqLufxfffdb0SXcRX4NDhZaQJv_IcAzYZix5uOi-XIKA==" TargetMode="External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Horackova Zdenka</dc:creator>
  <cp:lastModifiedBy>Horackova Zdenka</cp:lastModifiedBy>
  <cp:revision>1</cp:revision>
  <dcterms:created xsi:type="dcterms:W3CDTF">2020-08-13T14:29:00Z</dcterms:created>
  <dcterms:modified xsi:type="dcterms:W3CDTF">2020-08-13T14:30:00Z</dcterms:modified>
</cp:coreProperties>
</file>