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0"/>
      </w:tblGrid>
      <w:tr w:rsidR="00C76BBF" w:rsidTr="00C76BBF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25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0"/>
            </w:tblGrid>
            <w:tr w:rsidR="00C76BBF">
              <w:trPr>
                <w:trHeight w:val="300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76BBF" w:rsidRDefault="00C76BB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C76BBF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82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50"/>
                  </w:tblGrid>
                  <w:tr w:rsidR="00C76BB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76BBF" w:rsidRDefault="00C76BBF">
                        <w:pPr>
                          <w:spacing w:line="0" w:lineRule="atLeast"/>
                          <w:rPr>
                            <w:rFonts w:ascii="Arial" w:eastAsia="Times New Roman" w:hAnsi="Arial" w:cs="Arial"/>
                            <w:sz w:val="2"/>
                            <w:szCs w:val="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5238750" cy="19050"/>
                              <wp:effectExtent l="0" t="0" r="0" b="0"/>
                              <wp:docPr id="6" name="Obrázek 6" descr="http://www.vascular-course.com/img/newsletter/evc_newsletter_hr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.vascular-course.com/img/newsletter/evc_newsletter_hr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38750" cy="19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76BBF">
                    <w:trPr>
                      <w:trHeight w:val="7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8250" w:type="dxa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50"/>
                        </w:tblGrid>
                        <w:tr w:rsidR="00C76BBF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C76BBF" w:rsidRDefault="00C76BB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76BBF">
                          <w:trPr>
                            <w:trHeight w:val="600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C76BBF" w:rsidRDefault="00C76BBF">
                              <w:pPr>
                                <w:rPr>
                                  <w:rFonts w:ascii="Arial" w:eastAsia="Times New Roman" w:hAnsi="Arial" w:cs="Aria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529C"/>
                                  <w:sz w:val="23"/>
                                  <w:szCs w:val="23"/>
                                </w:rPr>
                                <w:t xml:space="preserve">EVC@VISAR 2019 </w:t>
                              </w:r>
                            </w:p>
                          </w:tc>
                        </w:tr>
                        <w:tr w:rsidR="00C76BBF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C76BBF" w:rsidRDefault="00C76BB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76BBF" w:rsidRDefault="00C76BB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76BB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76BBF" w:rsidRDefault="00C76BBF">
                        <w:pPr>
                          <w:spacing w:line="0" w:lineRule="atLeast"/>
                          <w:rPr>
                            <w:rFonts w:ascii="Arial" w:eastAsia="Times New Roman" w:hAnsi="Arial" w:cs="Arial"/>
                            <w:sz w:val="2"/>
                            <w:szCs w:val="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5238750" cy="19050"/>
                              <wp:effectExtent l="0" t="0" r="0" b="0"/>
                              <wp:docPr id="5" name="Obrázek 5" descr="http://www.vascular-course.com/img/newsletter/evc_newsletter_hr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vascular-course.com/img/newsletter/evc_newsletter_hr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38750" cy="19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76BBF" w:rsidRDefault="00C76BBF">
                  <w:pPr>
                    <w:spacing w:line="330" w:lineRule="atLeast"/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Dear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colleagues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, </w:t>
                  </w:r>
                </w:p>
                <w:p w:rsidR="00C76BBF" w:rsidRDefault="00C76BBF">
                  <w:pPr>
                    <w:spacing w:line="330" w:lineRule="atLeast"/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It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is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our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great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pleasure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to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invite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you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on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behalf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of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EVC to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Vienna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for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special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EVC@Visar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2019 session.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Together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with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the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organisation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of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VISAR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we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designed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a program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with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lectures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on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treatment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options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strategies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and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complication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management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for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Thoracoabdominal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aortic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aneurysms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The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13th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Vienna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Interdisciplinary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Symposium on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Aortic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Repair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(VISAR)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takes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place on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November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14 to 15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at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the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Ritz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Carlton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Stubenring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5-7.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We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are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looking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forward to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welcome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you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in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November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in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Vienna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and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join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our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challenging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session.</w:t>
                  </w:r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br/>
                  </w:r>
                  <w:r>
                    <w:rPr>
                      <w:rStyle w:val="Siln"/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Michael Jacobs</w:t>
                  </w:r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br/>
                    <w:t> </w:t>
                  </w:r>
                </w:p>
                <w:tbl>
                  <w:tblPr>
                    <w:tblW w:w="82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50"/>
                  </w:tblGrid>
                  <w:tr w:rsidR="00C76BB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76BBF" w:rsidRDefault="00C76BBF">
                        <w:pPr>
                          <w:spacing w:line="0" w:lineRule="atLeast"/>
                          <w:rPr>
                            <w:rFonts w:ascii="Arial" w:eastAsia="Times New Roman" w:hAnsi="Arial" w:cs="Arial"/>
                            <w:sz w:val="2"/>
                            <w:szCs w:val="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5238750" cy="19050"/>
                              <wp:effectExtent l="0" t="0" r="0" b="0"/>
                              <wp:docPr id="4" name="Obrázek 4" descr="http://www.vascular-course.com/img/newsletter/evc_newsletter_hr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vascular-course.com/img/newsletter/evc_newsletter_hr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38750" cy="19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76BBF">
                    <w:trPr>
                      <w:trHeight w:val="7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8250" w:type="dxa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50"/>
                        </w:tblGrid>
                        <w:tr w:rsidR="00C76BBF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C76BBF" w:rsidRDefault="00C76BB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76BBF">
                          <w:trPr>
                            <w:trHeight w:val="600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C76BBF" w:rsidRDefault="00C76BBF">
                              <w:pPr>
                                <w:rPr>
                                  <w:rFonts w:ascii="Arial" w:eastAsia="Times New Roman" w:hAnsi="Arial" w:cs="Aria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529C"/>
                                  <w:sz w:val="23"/>
                                  <w:szCs w:val="23"/>
                                </w:rPr>
                                <w:t xml:space="preserve">EVC@VISAR 2019 - </w:t>
                              </w: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00529C"/>
                                  <w:sz w:val="23"/>
                                  <w:szCs w:val="23"/>
                                </w:rPr>
                                <w:t>Thoracoabdominal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00529C"/>
                                  <w:sz w:val="23"/>
                                  <w:szCs w:val="23"/>
                                </w:rPr>
                                <w:t xml:space="preserve"> aorta </w:t>
                              </w:r>
                            </w:p>
                          </w:tc>
                        </w:tr>
                        <w:tr w:rsidR="00C76BBF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C76BBF" w:rsidRDefault="00C76BB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76BBF" w:rsidRDefault="00C76BB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76BB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76BBF" w:rsidRDefault="00C76BBF">
                        <w:pPr>
                          <w:spacing w:line="0" w:lineRule="atLeast"/>
                          <w:rPr>
                            <w:rFonts w:ascii="Arial" w:eastAsia="Times New Roman" w:hAnsi="Arial" w:cs="Arial"/>
                            <w:sz w:val="2"/>
                            <w:szCs w:val="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5238750" cy="19050"/>
                              <wp:effectExtent l="0" t="0" r="0" b="0"/>
                              <wp:docPr id="3" name="Obrázek 3" descr="http://www.vascular-course.com/img/newsletter/evc_newsletter_hr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vascular-course.com/img/newsletter/evc_newsletter_hr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38750" cy="19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76BBF" w:rsidRDefault="00C76BBF">
                  <w:pPr>
                    <w:spacing w:line="330" w:lineRule="atLeast"/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Style w:val="Siln"/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Friday</w:t>
                  </w:r>
                  <w:proofErr w:type="spellEnd"/>
                  <w:r>
                    <w:rPr>
                      <w:rStyle w:val="Siln"/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Siln"/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November</w:t>
                  </w:r>
                  <w:proofErr w:type="spellEnd"/>
                  <w:r>
                    <w:rPr>
                      <w:rStyle w:val="Siln"/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, 15</w:t>
                  </w:r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br/>
                  </w:r>
                  <w:r>
                    <w:rPr>
                      <w:rStyle w:val="Siln"/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11.00 – 12.40</w:t>
                  </w:r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Chair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: Michael Jacobs and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Eric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Verhoeven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br/>
                  </w:r>
                  <w:r>
                    <w:rPr>
                      <w:rStyle w:val="Siln"/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11:00 – 11:15</w:t>
                  </w:r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State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of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the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art: TAAA – open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or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endo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br/>
                    <w:t xml:space="preserve">Joseph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Coselli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br/>
                  </w:r>
                  <w:r>
                    <w:rPr>
                      <w:rStyle w:val="Siln"/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11:15 – 11:20</w:t>
                  </w:r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br/>
                    <w:t xml:space="preserve">Rapid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fire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#1: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Events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during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(long) F/BEVAR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waiting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times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Eric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Verhoeven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br/>
                  </w:r>
                  <w:r>
                    <w:rPr>
                      <w:rStyle w:val="Siln"/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11:20 – 11:25</w:t>
                  </w:r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br/>
                    <w:t xml:space="preserve">Rapid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Fire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#2: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Spinal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ischemia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–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Prevention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during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implantation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br/>
                    <w:t xml:space="preserve">Christian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Etz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br/>
                  </w:r>
                  <w:r>
                    <w:rPr>
                      <w:rStyle w:val="Siln"/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11:25 – 11:30</w:t>
                  </w:r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br/>
                    <w:t xml:space="preserve">Rapid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Fire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#3: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Spinal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ischemia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–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Postoperative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SOP</w:t>
                  </w:r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br/>
                    <w:t xml:space="preserve">Peter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Wohlrab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br/>
                  </w:r>
                  <w:r>
                    <w:rPr>
                      <w:rStyle w:val="Siln"/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11:30 – 12:00</w:t>
                  </w:r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Bailout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case(s):</w:t>
                  </w:r>
                  <w:proofErr w:type="gram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TAAA</w:t>
                  </w:r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br/>
                    <w:t>Michael Jacobs</w:t>
                  </w:r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br/>
                  </w:r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lastRenderedPageBreak/>
                    <w:br/>
                  </w:r>
                  <w:r>
                    <w:rPr>
                      <w:rStyle w:val="Siln"/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12:00 – 12:40</w:t>
                  </w:r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Discussion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Eric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Verhoeven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, Michael Jacobs,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Hannes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Deutschmann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, Joseph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Coselli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, Martin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Grabenwöger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, Christian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Etz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, Manfred Cejna, Peter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Wohlrab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br/>
                    <w:t xml:space="preserve">  </w:t>
                  </w:r>
                </w:p>
                <w:tbl>
                  <w:tblPr>
                    <w:tblW w:w="82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50"/>
                  </w:tblGrid>
                  <w:tr w:rsidR="00C76BB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76BBF" w:rsidRDefault="00C76BBF">
                        <w:pPr>
                          <w:spacing w:line="0" w:lineRule="atLeast"/>
                          <w:rPr>
                            <w:rFonts w:ascii="Arial" w:eastAsia="Times New Roman" w:hAnsi="Arial" w:cs="Arial"/>
                            <w:sz w:val="2"/>
                            <w:szCs w:val="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5238750" cy="19050"/>
                              <wp:effectExtent l="0" t="0" r="0" b="0"/>
                              <wp:docPr id="2" name="Obrázek 2" descr="http://www.vascular-course.com/img/newsletter/evc_newsletter_hr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www.vascular-course.com/img/newsletter/evc_newsletter_hr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38750" cy="19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C76BBF">
                    <w:trPr>
                      <w:trHeight w:val="7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8250" w:type="dxa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50"/>
                        </w:tblGrid>
                        <w:tr w:rsidR="00C76BBF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C76BBF" w:rsidRDefault="00C76BB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C76BBF">
                          <w:trPr>
                            <w:trHeight w:val="600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C76BBF" w:rsidRDefault="00C76BBF">
                              <w:pPr>
                                <w:rPr>
                                  <w:rFonts w:ascii="Arial" w:eastAsia="Times New Roman" w:hAnsi="Arial" w:cs="Arial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Times New Roman" w:hAnsi="Arial" w:cs="Arial"/>
                                  <w:color w:val="00529C"/>
                                  <w:sz w:val="23"/>
                                  <w:szCs w:val="23"/>
                                </w:rPr>
                                <w:t>Visar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color w:val="00529C"/>
                                  <w:sz w:val="23"/>
                                  <w:szCs w:val="23"/>
                                </w:rPr>
                                <w:t xml:space="preserve"> 2019 </w:t>
                              </w:r>
                            </w:p>
                          </w:tc>
                        </w:tr>
                        <w:tr w:rsidR="00C76BBF">
                          <w:trPr>
                            <w:trHeight w:val="75"/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C76BBF" w:rsidRDefault="00C76BBF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76BBF" w:rsidRDefault="00C76BBF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76BB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76BBF" w:rsidRDefault="00C76BBF">
                        <w:pPr>
                          <w:spacing w:line="0" w:lineRule="atLeast"/>
                          <w:rPr>
                            <w:rFonts w:ascii="Arial" w:eastAsia="Times New Roman" w:hAnsi="Arial" w:cs="Arial"/>
                            <w:sz w:val="2"/>
                            <w:szCs w:val="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2"/>
                            <w:szCs w:val="2"/>
                          </w:rPr>
                          <w:drawing>
                            <wp:inline distT="0" distB="0" distL="0" distR="0">
                              <wp:extent cx="5238750" cy="19050"/>
                              <wp:effectExtent l="0" t="0" r="0" b="0"/>
                              <wp:docPr id="1" name="Obrázek 1" descr="http://www.vascular-course.com/img/newsletter/evc_newsletter_hrr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www.vascular-course.com/img/newsletter/evc_newsletter_hrr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238750" cy="19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76BBF" w:rsidRDefault="00C76BBF">
                  <w:pPr>
                    <w:spacing w:line="330" w:lineRule="atLeast"/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The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VISAR meeting in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Vienna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has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evolved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over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the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past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decade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and has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changed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to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an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interactive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format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Aside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State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of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the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Art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presentations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our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main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focus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is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on podium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discussions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and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interaction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with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the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audience.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Indication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and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treatment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options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are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important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, but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when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catastrophy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strikes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during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a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procedure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how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would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different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experts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react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what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is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their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approach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would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that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also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be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your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bail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out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?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Emphasizing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our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training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and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education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mission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we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will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offer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well-balanced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hands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-on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training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sessions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including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wet-lab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training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as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well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as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workshops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dedicated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to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perioperative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patient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care.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Finally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we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decided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to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implement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the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program “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Bring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your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resident(s) “.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Each</w:t>
                  </w:r>
                  <w:proofErr w:type="spellEnd"/>
                  <w:proofErr w:type="gram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resident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accompanying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you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will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get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a 50 %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reduction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on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the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registration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fee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For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more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information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>please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t xml:space="preserve"> visit </w:t>
                  </w:r>
                  <w:hyperlink r:id="rId6" w:tgtFrame="_blank" w:history="1">
                    <w:r>
                      <w:rPr>
                        <w:rStyle w:val="Hypertextovodkaz"/>
                        <w:rFonts w:ascii="Arial" w:eastAsia="Times New Roman" w:hAnsi="Arial" w:cs="Arial"/>
                        <w:sz w:val="20"/>
                        <w:szCs w:val="20"/>
                      </w:rPr>
                      <w:t>www.visar.at</w:t>
                    </w:r>
                  </w:hyperlink>
                  <w:r>
                    <w:rPr>
                      <w:rFonts w:ascii="Arial" w:eastAsia="Times New Roman" w:hAnsi="Arial" w:cs="Arial"/>
                      <w:color w:val="00529C"/>
                      <w:sz w:val="20"/>
                      <w:szCs w:val="20"/>
                    </w:rPr>
                    <w:br/>
                    <w:t xml:space="preserve">  </w:t>
                  </w:r>
                </w:p>
              </w:tc>
            </w:tr>
            <w:tr w:rsidR="00C76BBF">
              <w:trPr>
                <w:trHeight w:val="300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76BBF" w:rsidRDefault="00C76BBF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C76BBF" w:rsidRDefault="00C76BB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394922" w:rsidRDefault="00394922">
      <w:bookmarkStart w:id="0" w:name="_GoBack"/>
      <w:bookmarkEnd w:id="0"/>
    </w:p>
    <w:sectPr w:rsidR="00394922" w:rsidSect="00C76BB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BBF"/>
    <w:rsid w:val="00394922"/>
    <w:rsid w:val="006411E4"/>
    <w:rsid w:val="00C7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6BB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76BBF"/>
    <w:rPr>
      <w:color w:val="00529C"/>
      <w:u w:val="single"/>
    </w:rPr>
  </w:style>
  <w:style w:type="character" w:styleId="Siln">
    <w:name w:val="Strong"/>
    <w:basedOn w:val="Standardnpsmoodstavce"/>
    <w:uiPriority w:val="22"/>
    <w:qFormat/>
    <w:rsid w:val="00C76BB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6B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6BBF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6BB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76BBF"/>
    <w:rPr>
      <w:color w:val="00529C"/>
      <w:u w:val="single"/>
    </w:rPr>
  </w:style>
  <w:style w:type="character" w:styleId="Siln">
    <w:name w:val="Strong"/>
    <w:basedOn w:val="Standardnpsmoodstavce"/>
    <w:uiPriority w:val="22"/>
    <w:qFormat/>
    <w:rsid w:val="00C76BB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6B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6BBF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isar.a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Horackova Zdenka</dc:creator>
  <cp:lastModifiedBy>Horackova Zdenka</cp:lastModifiedBy>
  <cp:revision>2</cp:revision>
  <dcterms:created xsi:type="dcterms:W3CDTF">2019-09-10T15:19:00Z</dcterms:created>
  <dcterms:modified xsi:type="dcterms:W3CDTF">2019-09-10T15:20:00Z</dcterms:modified>
</cp:coreProperties>
</file>