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0"/>
      </w:tblGrid>
      <w:tr w:rsidR="00C66BDC" w:rsidTr="00C66BDC">
        <w:trPr>
          <w:tblCellSpacing w:w="0" w:type="dxa"/>
          <w:jc w:val="center"/>
        </w:trPr>
        <w:tc>
          <w:tcPr>
            <w:tcW w:w="0" w:type="auto"/>
            <w:hideMark/>
          </w:tcPr>
          <w:p w:rsidR="00C66BDC" w:rsidRDefault="00C66BDC">
            <w:r>
              <w:rPr>
                <w:color w:val="000000"/>
                <w:sz w:val="2"/>
                <w:szCs w:val="2"/>
              </w:rPr>
              <w:t xml:space="preserve">t </w:t>
            </w:r>
            <w:proofErr w:type="spellStart"/>
            <w:r>
              <w:rPr>
                <w:color w:val="000000"/>
                <w:sz w:val="2"/>
                <w:szCs w:val="2"/>
              </w:rPr>
              <w:t>Vascular</w:t>
            </w:r>
            <w:proofErr w:type="spellEnd"/>
            <w:r>
              <w:rPr>
                <w:color w:val="000000"/>
                <w:sz w:val="2"/>
                <w:szCs w:val="2"/>
              </w:rPr>
              <w:t xml:space="preserve"> International </w:t>
            </w:r>
            <w:r>
              <w:rPr>
                <w:rFonts w:ascii="Arial" w:hAnsi="Arial" w:cs="Arial"/>
                <w:vanish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15"/>
            </w:tblGrid>
            <w:tr w:rsidR="00C66BD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66BDC" w:rsidRDefault="00C66BDC">
                  <w:pPr>
                    <w:spacing w:line="0" w:lineRule="atLeast"/>
                  </w:pPr>
                  <w:r>
                    <w:rPr>
                      <w:rFonts w:ascii="Arial" w:hAnsi="Arial" w:cs="Arial"/>
                      <w:noProof/>
                      <w:sz w:val="2"/>
                      <w:szCs w:val="2"/>
                    </w:rPr>
                    <w:drawing>
                      <wp:inline distT="0" distB="0" distL="0" distR="0" wp14:anchorId="0D2BDC3A" wp14:editId="66AC6526">
                        <wp:extent cx="4581525" cy="1657679"/>
                        <wp:effectExtent l="0" t="0" r="0" b="0"/>
                        <wp:docPr id="4" name="Obrázek 4" descr="https://vascular-international.org/wp-content/uploads/VI_NL_Head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vascular-international.org/wp-content/uploads/VI_NL_Head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81525" cy="1657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66BDC" w:rsidRDefault="00C66BDC">
            <w:r>
              <w:rPr>
                <w:rFonts w:ascii="Arial" w:hAnsi="Arial" w:cs="Arial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0"/>
            </w:tblGrid>
            <w:tr w:rsidR="00C66BD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82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50"/>
                  </w:tblGrid>
                  <w:tr w:rsidR="00C66BD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C66BDC" w:rsidRDefault="00C66BDC">
                        <w:pPr>
                          <w:spacing w:line="330" w:lineRule="atLeast"/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  <w:sz w:val="20"/>
                            <w:szCs w:val="20"/>
                          </w:rPr>
                          <w:drawing>
                            <wp:inline distT="0" distB="0" distL="0" distR="0" wp14:anchorId="7EB158F7" wp14:editId="74AEE6BA">
                              <wp:extent cx="5238750" cy="2543175"/>
                              <wp:effectExtent l="0" t="0" r="0" b="9525"/>
                              <wp:docPr id="3" name="Obrázek 3" descr="http://www.vascular-course.com/img/newsletter_upload/26_1.jpg?qw=33DF0639-9FA8-D72F-AC67-3D6E52EEDE4C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.vascular-course.com/img/newsletter_upload/26_1.jpg?qw=33DF0639-9FA8-D72F-AC67-3D6E52EEDE4C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38750" cy="2543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tbl>
                        <w:tblPr>
                          <w:tblW w:w="8250" w:type="dxa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50"/>
                        </w:tblGrid>
                        <w:tr w:rsidR="00C66BD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C66BDC" w:rsidRDefault="00C66BDC">
                              <w:pPr>
                                <w:pStyle w:val="Normlnweb"/>
                                <w:spacing w:line="330" w:lineRule="atLeast"/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>We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>hereby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>wish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>all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>friends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>of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>Vascular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 xml:space="preserve"> International a happy and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>especially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>healthy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>year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 xml:space="preserve">!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>Good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>luck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>for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>achieving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>goals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>you'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>ve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 xml:space="preserve"> set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>yourself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>Our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>own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>new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>year's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>resolution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>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>same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 xml:space="preserve"> as last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>year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 xml:space="preserve"> and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>one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>before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 xml:space="preserve">: Make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>Vascular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 xml:space="preserve"> International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>an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>even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>better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>school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>for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>vascular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 xml:space="preserve"> and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>cardiovascular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>surgeons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 xml:space="preserve"> by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>providing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>enhanced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>training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 xml:space="preserve"> and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>learning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>of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>vascular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>surgical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>techniques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>using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>lifelike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>models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>guided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 xml:space="preserve"> by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>best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>tutors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 xml:space="preserve"> in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>field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>.</w:t>
                              </w:r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br/>
                                <w:t> </w:t>
                              </w:r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br/>
                                <w:t xml:space="preserve">Enjoy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>upcoming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>year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 xml:space="preserve"> and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>enjoy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>training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>with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>Vascular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 xml:space="preserve"> International!</w:t>
                              </w:r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br/>
                                <w:t> </w:t>
                              </w:r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>Warmest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>regards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 xml:space="preserve"> on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>behalf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 xml:space="preserve"> on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 xml:space="preserve"> team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>of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>Vascular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 xml:space="preserve"> International,</w:t>
                              </w:r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br/>
                                <w:t> </w:t>
                              </w:r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>Jürg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>Schmidli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br/>
                              </w:r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br/>
                                <w:t xml:space="preserve">President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>Vascular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 xml:space="preserve"> International</w:t>
                              </w:r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br/>
                              </w:r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br/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>P.S.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>Your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>resolution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>there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 xml:space="preserve"> are a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>few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>places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>left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>for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>Lucerne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>Courses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>starting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 xml:space="preserve"> in 3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>weeks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>Please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>check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hyperlink r:id="rId7" w:tgtFrame="_blank" w:history="1">
                                <w:r>
                                  <w:rPr>
                                    <w:rStyle w:val="Hypertextovodkaz"/>
                                    <w:sz w:val="23"/>
                                    <w:szCs w:val="23"/>
                                  </w:rPr>
                                  <w:t>https://vascular-international.org/course/</w:t>
                                </w:r>
                              </w:hyperlink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br/>
                                <w:t> </w:t>
                              </w:r>
                            </w:p>
                          </w:tc>
                        </w:tr>
                      </w:tbl>
                      <w:p w:rsidR="00C66BDC" w:rsidRDefault="00C66BDC">
                        <w:pPr>
                          <w:spacing w:line="330" w:lineRule="atLeast"/>
                        </w:pPr>
                        <w:r>
                          <w:rPr>
                            <w:rFonts w:ascii="Arial" w:hAnsi="Arial" w:cs="Arial"/>
                            <w:vanish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C66BDC" w:rsidRDefault="00C66BD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C66BDC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66BDC" w:rsidRDefault="00C66BD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C66BDC" w:rsidRDefault="00C66BDC">
            <w:r>
              <w:rPr>
                <w:rFonts w:ascii="Arial" w:hAnsi="Arial" w:cs="Arial"/>
                <w:vanish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0"/>
            </w:tblGrid>
            <w:tr w:rsidR="00C66BD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66BDC" w:rsidRDefault="00C66BDC">
                  <w:pPr>
                    <w:spacing w:line="0" w:lineRule="atLeast"/>
                  </w:pPr>
                  <w:r>
                    <w:rPr>
                      <w:rFonts w:ascii="Arial" w:hAnsi="Arial" w:cs="Arial"/>
                      <w:noProof/>
                      <w:sz w:val="2"/>
                      <w:szCs w:val="2"/>
                    </w:rPr>
                    <w:drawing>
                      <wp:inline distT="0" distB="0" distL="0" distR="0" wp14:anchorId="74D65618" wp14:editId="5DB1BF8B">
                        <wp:extent cx="5238750" cy="476250"/>
                        <wp:effectExtent l="0" t="0" r="0" b="0"/>
                        <wp:docPr id="1" name="Obrázek 1" descr="http://www.vascular-course.com/content/mailings/templates/2/vi_foot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vascular-course.com/content/mailings/templates/2/vi_foot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7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66BDC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66BDC" w:rsidRDefault="00C66BD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C66BDC" w:rsidRDefault="00C66BDC">
            <w:bookmarkStart w:id="0" w:name="_GoBack"/>
            <w:bookmarkEnd w:id="0"/>
            <w:r>
              <w:rPr>
                <w:rFonts w:ascii="Arial" w:hAnsi="Arial" w:cs="Arial"/>
                <w:vanish/>
              </w:rPr>
              <w:t> </w:t>
            </w:r>
          </w:p>
          <w:tbl>
            <w:tblPr>
              <w:tblW w:w="82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0"/>
            </w:tblGrid>
            <w:tr w:rsidR="00C66BDC">
              <w:trPr>
                <w:trHeight w:val="450"/>
                <w:tblCellSpacing w:w="0" w:type="dxa"/>
              </w:trPr>
              <w:tc>
                <w:tcPr>
                  <w:tcW w:w="6180" w:type="dxa"/>
                  <w:hideMark/>
                </w:tcPr>
                <w:p w:rsidR="00C66BDC" w:rsidRDefault="00C66BDC">
                  <w:pPr>
                    <w:spacing w:line="600" w:lineRule="atLeast"/>
                    <w:jc w:val="center"/>
                  </w:pPr>
                  <w:proofErr w:type="spellStart"/>
                  <w:r>
                    <w:rPr>
                      <w:rFonts w:ascii="Arial" w:hAnsi="Arial" w:cs="Arial"/>
                      <w:color w:val="0D0D0D"/>
                      <w:sz w:val="15"/>
                      <w:szCs w:val="15"/>
                    </w:rPr>
                    <w:t>If</w:t>
                  </w:r>
                  <w:proofErr w:type="spellEnd"/>
                  <w:r>
                    <w:rPr>
                      <w:rFonts w:ascii="Arial" w:hAnsi="Arial" w:cs="Arial"/>
                      <w:color w:val="0D0D0D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D0D0D"/>
                      <w:sz w:val="15"/>
                      <w:szCs w:val="15"/>
                    </w:rPr>
                    <w:t>you</w:t>
                  </w:r>
                  <w:proofErr w:type="spellEnd"/>
                  <w:r>
                    <w:rPr>
                      <w:rFonts w:ascii="Arial" w:hAnsi="Arial" w:cs="Arial"/>
                      <w:color w:val="0D0D0D"/>
                      <w:sz w:val="15"/>
                      <w:szCs w:val="15"/>
                    </w:rPr>
                    <w:t xml:space="preserve"> are no </w:t>
                  </w:r>
                  <w:proofErr w:type="spellStart"/>
                  <w:r>
                    <w:rPr>
                      <w:rFonts w:ascii="Arial" w:hAnsi="Arial" w:cs="Arial"/>
                      <w:color w:val="0D0D0D"/>
                      <w:sz w:val="15"/>
                      <w:szCs w:val="15"/>
                    </w:rPr>
                    <w:t>longer</w:t>
                  </w:r>
                  <w:proofErr w:type="spellEnd"/>
                  <w:r>
                    <w:rPr>
                      <w:rFonts w:ascii="Arial" w:hAnsi="Arial" w:cs="Arial"/>
                      <w:color w:val="0D0D0D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D0D0D"/>
                      <w:sz w:val="15"/>
                      <w:szCs w:val="15"/>
                    </w:rPr>
                    <w:t>interested</w:t>
                  </w:r>
                  <w:proofErr w:type="spellEnd"/>
                  <w:r>
                    <w:rPr>
                      <w:rFonts w:ascii="Arial" w:hAnsi="Arial" w:cs="Arial"/>
                      <w:color w:val="0D0D0D"/>
                      <w:sz w:val="15"/>
                      <w:szCs w:val="15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D0D0D"/>
                      <w:sz w:val="15"/>
                      <w:szCs w:val="15"/>
                    </w:rPr>
                    <w:t>you</w:t>
                  </w:r>
                  <w:proofErr w:type="spellEnd"/>
                  <w:r>
                    <w:rPr>
                      <w:rFonts w:ascii="Arial" w:hAnsi="Arial" w:cs="Arial"/>
                      <w:color w:val="0D0D0D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D0D0D"/>
                      <w:sz w:val="15"/>
                      <w:szCs w:val="15"/>
                    </w:rPr>
                    <w:t>can</w:t>
                  </w:r>
                  <w:proofErr w:type="spellEnd"/>
                  <w:r>
                    <w:rPr>
                      <w:rFonts w:ascii="Arial" w:hAnsi="Arial" w:cs="Arial"/>
                      <w:color w:val="0D0D0D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D0D0D"/>
                      <w:sz w:val="15"/>
                      <w:szCs w:val="15"/>
                    </w:rPr>
                    <w:t>unsubscribe</w:t>
                  </w:r>
                  <w:proofErr w:type="spellEnd"/>
                  <w:r>
                    <w:rPr>
                      <w:rFonts w:ascii="Arial" w:hAnsi="Arial" w:cs="Arial"/>
                      <w:color w:val="0D0D0D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D0D0D"/>
                      <w:sz w:val="15"/>
                      <w:szCs w:val="15"/>
                    </w:rPr>
                    <w:t>instantly</w:t>
                  </w:r>
                  <w:proofErr w:type="spellEnd"/>
                  <w:r>
                    <w:rPr>
                      <w:rFonts w:ascii="Arial" w:hAnsi="Arial" w:cs="Arial"/>
                      <w:color w:val="0D0D0D"/>
                      <w:sz w:val="15"/>
                      <w:szCs w:val="15"/>
                    </w:rPr>
                    <w:t xml:space="preserve"> by </w:t>
                  </w:r>
                  <w:hyperlink r:id="rId9" w:tgtFrame="_blank" w:history="1"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sz w:val="15"/>
                        <w:szCs w:val="15"/>
                        <w:u w:val="none"/>
                      </w:rPr>
                      <w:t>sending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sz w:val="15"/>
                        <w:szCs w:val="15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sz w:val="15"/>
                        <w:szCs w:val="15"/>
                        <w:u w:val="none"/>
                      </w:rPr>
                      <w:t>us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sz w:val="15"/>
                        <w:szCs w:val="15"/>
                        <w:u w:val="none"/>
                      </w:rPr>
                      <w:t xml:space="preserve"> a mail</w:t>
                    </w:r>
                  </w:hyperlink>
                  <w:r>
                    <w:rPr>
                      <w:rFonts w:ascii="Arial" w:hAnsi="Arial" w:cs="Arial"/>
                      <w:color w:val="0D0D0D"/>
                      <w:sz w:val="15"/>
                      <w:szCs w:val="15"/>
                    </w:rPr>
                    <w:t xml:space="preserve"> </w:t>
                  </w:r>
                </w:p>
              </w:tc>
            </w:tr>
          </w:tbl>
          <w:p w:rsidR="00C66BDC" w:rsidRDefault="00C66BD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394922" w:rsidRDefault="00394922"/>
    <w:sectPr w:rsidR="00394922" w:rsidSect="00C66BDC">
      <w:pgSz w:w="11906" w:h="16838"/>
      <w:pgMar w:top="0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DC"/>
    <w:rsid w:val="00394922"/>
    <w:rsid w:val="006411E4"/>
    <w:rsid w:val="00C6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6BDC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66BDC"/>
    <w:rPr>
      <w:color w:val="00529C"/>
      <w:u w:val="single"/>
    </w:rPr>
  </w:style>
  <w:style w:type="paragraph" w:styleId="Normlnweb">
    <w:name w:val="Normal (Web)"/>
    <w:basedOn w:val="Normln"/>
    <w:uiPriority w:val="99"/>
    <w:unhideWhenUsed/>
    <w:rsid w:val="00C66BDC"/>
    <w:pPr>
      <w:spacing w:before="100" w:beforeAutospacing="1" w:after="100" w:afterAutospacing="1"/>
    </w:pPr>
    <w:rPr>
      <w:rFonts w:ascii="Arial" w:hAnsi="Arial"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6B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6BDC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6BDC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66BDC"/>
    <w:rPr>
      <w:color w:val="00529C"/>
      <w:u w:val="single"/>
    </w:rPr>
  </w:style>
  <w:style w:type="paragraph" w:styleId="Normlnweb">
    <w:name w:val="Normal (Web)"/>
    <w:basedOn w:val="Normln"/>
    <w:uiPriority w:val="99"/>
    <w:unhideWhenUsed/>
    <w:rsid w:val="00C66BDC"/>
    <w:pPr>
      <w:spacing w:before="100" w:beforeAutospacing="1" w:after="100" w:afterAutospacing="1"/>
    </w:pPr>
    <w:rPr>
      <w:rFonts w:ascii="Arial" w:hAnsi="Arial"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6B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6BDC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5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vascular-international.org/cours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vascular-international.org?subject=Unsubscribe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Horackova Zdenka</dc:creator>
  <cp:lastModifiedBy>Horackova Zdenka</cp:lastModifiedBy>
  <cp:revision>1</cp:revision>
  <dcterms:created xsi:type="dcterms:W3CDTF">2020-01-08T13:55:00Z</dcterms:created>
  <dcterms:modified xsi:type="dcterms:W3CDTF">2020-01-08T13:59:00Z</dcterms:modified>
</cp:coreProperties>
</file>